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A47C0F" w:rsidRPr="002A3024" w:rsidP="00A47C0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3024">
        <w:rPr>
          <w:rFonts w:ascii="Arial" w:hAnsi="Arial" w:cs="Arial"/>
          <w:b/>
          <w:sz w:val="24"/>
          <w:szCs w:val="24"/>
          <w:u w:val="single"/>
        </w:rPr>
        <w:t>LEP – Samlesbury Aerospace EZ – Lead Programme Manager - Chris Dyson</w:t>
      </w:r>
    </w:p>
    <w:p w:rsidR="00A47C0F" w:rsidRPr="006D34BE" w:rsidP="008F6380">
      <w:pPr>
        <w:spacing w:after="0"/>
        <w:jc w:val="both"/>
        <w:rPr>
          <w:rFonts w:ascii="Arial" w:hAnsi="Arial" w:cs="Arial"/>
          <w:b/>
        </w:rPr>
      </w:pPr>
    </w:p>
    <w:p w:rsidR="005E6646" w:rsidRPr="006D34BE" w:rsidP="008F6380">
      <w:pPr>
        <w:spacing w:after="0"/>
        <w:jc w:val="both"/>
        <w:rPr>
          <w:rFonts w:ascii="Arial" w:hAnsi="Arial" w:cs="Arial"/>
          <w:b/>
          <w:u w:val="single"/>
        </w:rPr>
      </w:pPr>
      <w:r w:rsidRPr="006D34BE">
        <w:rPr>
          <w:rFonts w:ascii="Arial" w:hAnsi="Arial" w:cs="Arial"/>
          <w:b/>
          <w:u w:val="single"/>
        </w:rPr>
        <w:t xml:space="preserve">Background </w:t>
      </w:r>
    </w:p>
    <w:p w:rsidR="006D34BE" w:rsidRPr="006D34BE" w:rsidP="008F6380">
      <w:pPr>
        <w:spacing w:after="0"/>
        <w:jc w:val="both"/>
        <w:rPr>
          <w:rFonts w:ascii="Arial" w:hAnsi="Arial" w:cs="Arial"/>
          <w:b/>
        </w:rPr>
      </w:pPr>
    </w:p>
    <w:p w:rsidR="006A61BF" w:rsidP="006A61BF">
      <w:pPr>
        <w:jc w:val="both"/>
        <w:rPr>
          <w:rFonts w:ascii="Arial" w:hAnsi="Arial" w:cs="Arial"/>
        </w:rPr>
      </w:pPr>
      <w:r w:rsidRPr="006D34BE">
        <w:rPr>
          <w:rFonts w:ascii="Arial" w:hAnsi="Arial" w:cs="Arial"/>
        </w:rPr>
        <w:t>In April 2012, the Government awarded Enterprise Zone status to the Lancashire Enterprise Zone Samlesbury Aerospace (SAEZ) and Warton Aerospace Enterprise Zone Sites.</w:t>
      </w:r>
      <w:r w:rsidRPr="006D34BE">
        <w:rPr>
          <w:rFonts w:ascii="Arial" w:hAnsi="Arial" w:cs="Arial"/>
          <w:b/>
          <w:bCs/>
        </w:rPr>
        <w:t xml:space="preserve"> </w:t>
      </w:r>
      <w:r w:rsidRPr="006D34BE">
        <w:rPr>
          <w:rFonts w:ascii="Arial" w:hAnsi="Arial" w:cs="Arial"/>
        </w:rPr>
        <w:t xml:space="preserve">The </w:t>
      </w:r>
      <w:r w:rsidRPr="006D34BE">
        <w:rPr>
          <w:rFonts w:ascii="Arial" w:hAnsi="Arial" w:cs="Arial"/>
        </w:rPr>
        <w:t>SAEZ has benefitted from circa £54.994m public and private sector investment to date: including £12.994m infrastructure works invested as part of an overall infrastructure investment package of £28.8m (public highway, drainage, access, AMRC plot works) and</w:t>
      </w:r>
      <w:r w:rsidRPr="006D34BE">
        <w:rPr>
          <w:rFonts w:ascii="Arial" w:hAnsi="Arial" w:cs="Arial"/>
        </w:rPr>
        <w:t xml:space="preserve"> £42m by BAE</w:t>
      </w:r>
      <w:bookmarkStart w:id="0" w:name="_GoBack"/>
      <w:bookmarkEnd w:id="0"/>
      <w:r w:rsidRPr="006D34BE">
        <w:rPr>
          <w:rFonts w:ascii="Arial" w:hAnsi="Arial" w:cs="Arial"/>
        </w:rPr>
        <w:t xml:space="preserve"> developing three facilities, Academy for Skills &amp; Knowledge and Wincanton Defence &amp; Logistics Centre and the Asset Management Facility.</w:t>
      </w:r>
      <w:r w:rsidRPr="006D34BE">
        <w:rPr>
          <w:rFonts w:ascii="Arial" w:hAnsi="Arial" w:cs="Arial"/>
          <w:b/>
          <w:bCs/>
        </w:rPr>
        <w:t xml:space="preserve"> </w:t>
      </w:r>
      <w:r w:rsidRPr="006D34BE">
        <w:rPr>
          <w:rFonts w:ascii="Arial" w:hAnsi="Arial" w:cs="Arial"/>
        </w:rPr>
        <w:t>The County Council has facilitated the delivery of the North West Advanced Manufacturing Research Centre (A</w:t>
      </w:r>
      <w:r w:rsidRPr="006D34BE">
        <w:rPr>
          <w:rFonts w:ascii="Arial" w:hAnsi="Arial" w:cs="Arial"/>
        </w:rPr>
        <w:t xml:space="preserve">MRC) by the University of Sheffield, which has received £20m Growth Deal funds to deliver circa 4,500sqm of research and development floor-space. </w:t>
      </w:r>
    </w:p>
    <w:p w:rsidR="006D34BE" w:rsidRPr="006D34BE" w:rsidP="006A61BF">
      <w:pPr>
        <w:jc w:val="both"/>
        <w:rPr>
          <w:rFonts w:ascii="Arial" w:hAnsi="Arial" w:cs="Arial"/>
          <w:b/>
          <w:u w:val="single"/>
        </w:rPr>
      </w:pPr>
      <w:r w:rsidRPr="006D34BE">
        <w:rPr>
          <w:rFonts w:ascii="Arial" w:hAnsi="Arial" w:cs="Arial"/>
          <w:b/>
          <w:u w:val="single"/>
        </w:rPr>
        <w:t>Performance</w:t>
      </w:r>
    </w:p>
    <w:p w:rsidR="00191E07" w:rsidRPr="006D34BE" w:rsidP="00191E07">
      <w:pPr>
        <w:jc w:val="both"/>
        <w:rPr>
          <w:rFonts w:ascii="Arial" w:hAnsi="Arial" w:cs="Arial"/>
          <w:b/>
        </w:rPr>
      </w:pPr>
      <w:r w:rsidRPr="006D34BE">
        <w:rPr>
          <w:rFonts w:ascii="Arial" w:hAnsi="Arial" w:cs="Arial"/>
        </w:rPr>
        <w:t xml:space="preserve">The County Council has completed the plot works and  access road works, and legal agreements are </w:t>
      </w:r>
      <w:r w:rsidRPr="006D34BE">
        <w:rPr>
          <w:rFonts w:ascii="Arial" w:hAnsi="Arial" w:cs="Arial"/>
        </w:rPr>
        <w:t>in place that have allowed  AMRC site access for their construction, which is now underway by Robertson (Main Contractor). In April 2019 BAE commenced development of a circa £12m, 15,794sqm Asset Management Facility (AMF) which is due for completion by lat</w:t>
      </w:r>
      <w:r w:rsidRPr="006D34BE">
        <w:rPr>
          <w:rFonts w:ascii="Arial" w:hAnsi="Arial" w:cs="Arial"/>
        </w:rPr>
        <w:t>e November2020.</w:t>
      </w:r>
      <w:r w:rsidRPr="006D34BE">
        <w:rPr>
          <w:rFonts w:ascii="Arial" w:hAnsi="Arial" w:cs="Arial"/>
          <w:b/>
        </w:rPr>
        <w:t xml:space="preserve"> </w:t>
      </w:r>
      <w:r w:rsidRPr="006D34BE">
        <w:rPr>
          <w:rFonts w:ascii="Arial" w:hAnsi="Arial" w:cs="Arial"/>
        </w:rPr>
        <w:t xml:space="preserve">Drainage &amp; Earthworks Strategy (to inform site construction works later in the autumn/winter), and a Commercial Development Framework are both progressing well and will support future development and marketing. This will also assist in KPI </w:t>
      </w:r>
      <w:r w:rsidRPr="006D34BE">
        <w:rPr>
          <w:rFonts w:ascii="Arial" w:hAnsi="Arial" w:cs="Arial"/>
        </w:rPr>
        <w:t>management going forward.</w:t>
      </w:r>
    </w:p>
    <w:p w:rsidR="00D417E3" w:rsidRPr="006D34BE" w:rsidP="00191E07">
      <w:pPr>
        <w:jc w:val="both"/>
        <w:rPr>
          <w:rFonts w:ascii="Arial" w:hAnsi="Arial" w:cs="Arial"/>
        </w:rPr>
      </w:pPr>
      <w:r w:rsidRPr="006D34BE">
        <w:rPr>
          <w:rFonts w:ascii="Arial" w:hAnsi="Arial" w:cs="Arial"/>
        </w:rPr>
        <w:t xml:space="preserve">Three claims have been made to date to draw down Growth Deal funding to the value of £1.42m as part of the £6.725m on target to spend to deliver site wide infrastructure provision. Orders have been placed for site-wide utilities, </w:t>
      </w:r>
      <w:r w:rsidRPr="006D34BE">
        <w:rPr>
          <w:rFonts w:ascii="Arial" w:hAnsi="Arial" w:cs="Arial"/>
        </w:rPr>
        <w:t>and progress is being maintained on delivering the power supply, the major barrier to development, with site ducting nearing completion, after which off-site ducting will commence. The main gas main pipe installation will be completed in November to servic</w:t>
      </w:r>
      <w:r w:rsidRPr="006D34BE">
        <w:rPr>
          <w:rFonts w:ascii="Arial" w:hAnsi="Arial" w:cs="Arial"/>
        </w:rPr>
        <w:t>e the entire site. Final telecoms routing will commence in November. The county council has entered into a Collaboration Agreement with Electricity North West (ENWL) in respect of the provision of electricity to the site and ENWL has conducted route provin</w:t>
      </w:r>
      <w:r w:rsidRPr="006D34BE">
        <w:rPr>
          <w:rFonts w:ascii="Arial" w:hAnsi="Arial" w:cs="Arial"/>
        </w:rPr>
        <w:t>g, off and on site surveys for the new primary substation, planning approvals are in place and a comprehensive programme of works will be commence in late 2020.</w:t>
      </w:r>
    </w:p>
    <w:tbl>
      <w:tblPr>
        <w:tblStyle w:val="TableGrid"/>
        <w:tblW w:w="9072" w:type="dxa"/>
        <w:tblInd w:w="-5" w:type="dxa"/>
        <w:tblLayout w:type="fixed"/>
        <w:tblLook w:val="04A0"/>
      </w:tblPr>
      <w:tblGrid>
        <w:gridCol w:w="5245"/>
        <w:gridCol w:w="1559"/>
        <w:gridCol w:w="1560"/>
        <w:gridCol w:w="708"/>
      </w:tblGrid>
      <w:tr w:rsidTr="006D34BE">
        <w:tblPrEx>
          <w:tblW w:w="9072" w:type="dxa"/>
          <w:tblInd w:w="-5" w:type="dxa"/>
          <w:tblLayout w:type="fixed"/>
          <w:tblLook w:val="04A0"/>
        </w:tblPrEx>
        <w:tc>
          <w:tcPr>
            <w:tcW w:w="5245" w:type="dxa"/>
          </w:tcPr>
          <w:p w:rsidR="0008592F" w:rsidRPr="006D34BE" w:rsidP="00070479">
            <w:pPr>
              <w:rPr>
                <w:rFonts w:ascii="Arial" w:hAnsi="Arial" w:cs="Arial"/>
                <w:b/>
              </w:rPr>
            </w:pPr>
            <w:r w:rsidRPr="006D34BE">
              <w:rPr>
                <w:rFonts w:ascii="Arial" w:hAnsi="Arial" w:cs="Arial"/>
                <w:b/>
              </w:rPr>
              <w:t xml:space="preserve">KPI Performance </w:t>
            </w:r>
          </w:p>
        </w:tc>
        <w:tc>
          <w:tcPr>
            <w:tcW w:w="1559" w:type="dxa"/>
          </w:tcPr>
          <w:p w:rsidR="00FF0D74" w:rsidRPr="006D34BE" w:rsidP="00FF0D74">
            <w:pPr>
              <w:rPr>
                <w:rFonts w:ascii="Arial" w:hAnsi="Arial" w:cs="Arial"/>
                <w:b/>
              </w:rPr>
            </w:pPr>
            <w:r w:rsidRPr="006D34BE">
              <w:rPr>
                <w:rFonts w:ascii="Arial" w:hAnsi="Arial" w:cs="Arial"/>
                <w:b/>
              </w:rPr>
              <w:t>Targets</w:t>
            </w:r>
          </w:p>
          <w:p w:rsidR="0008592F" w:rsidRPr="006D34BE" w:rsidP="006D34BE">
            <w:pPr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 xml:space="preserve">(to 2029/30) </w:t>
            </w:r>
          </w:p>
        </w:tc>
        <w:tc>
          <w:tcPr>
            <w:tcW w:w="1560" w:type="dxa"/>
          </w:tcPr>
          <w:p w:rsidR="00FF0D74" w:rsidRPr="006D34BE" w:rsidP="00070479">
            <w:pPr>
              <w:rPr>
                <w:rFonts w:ascii="Arial" w:hAnsi="Arial" w:cs="Arial"/>
                <w:b/>
              </w:rPr>
            </w:pPr>
            <w:r w:rsidRPr="006D34BE">
              <w:rPr>
                <w:rFonts w:ascii="Arial" w:hAnsi="Arial" w:cs="Arial"/>
                <w:b/>
              </w:rPr>
              <w:t xml:space="preserve">Actuals </w:t>
            </w:r>
          </w:p>
          <w:p w:rsidR="0008592F" w:rsidRPr="006D34BE" w:rsidP="006D34BE">
            <w:pPr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(Qtr.1 20/21)</w:t>
            </w:r>
          </w:p>
        </w:tc>
        <w:tc>
          <w:tcPr>
            <w:tcW w:w="708" w:type="dxa"/>
          </w:tcPr>
          <w:p w:rsidR="0008592F" w:rsidRPr="006D34BE" w:rsidP="00070479">
            <w:pPr>
              <w:jc w:val="both"/>
              <w:rPr>
                <w:rFonts w:ascii="Arial" w:hAnsi="Arial" w:cs="Arial"/>
                <w:b/>
              </w:rPr>
            </w:pPr>
            <w:r w:rsidRPr="006D34BE">
              <w:rPr>
                <w:rFonts w:ascii="Arial" w:hAnsi="Arial" w:cs="Arial"/>
                <w:b/>
              </w:rPr>
              <w:t>RAG</w:t>
            </w:r>
          </w:p>
        </w:tc>
      </w:tr>
      <w:tr w:rsidTr="006D34BE">
        <w:tblPrEx>
          <w:tblW w:w="9072" w:type="dxa"/>
          <w:tblInd w:w="-5" w:type="dxa"/>
          <w:tblLayout w:type="fixed"/>
          <w:tblLook w:val="04A0"/>
        </w:tblPrEx>
        <w:tc>
          <w:tcPr>
            <w:tcW w:w="5245" w:type="dxa"/>
          </w:tcPr>
          <w:p w:rsidR="0008592F" w:rsidRPr="006D34BE" w:rsidP="00FF0D74">
            <w:pPr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New commercial floor space</w:t>
            </w:r>
          </w:p>
        </w:tc>
        <w:tc>
          <w:tcPr>
            <w:tcW w:w="1559" w:type="dxa"/>
          </w:tcPr>
          <w:p w:rsidR="0008592F" w:rsidRPr="006D34BE" w:rsidP="006D34BE">
            <w:pPr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 xml:space="preserve">125,352 sqm </w:t>
            </w:r>
          </w:p>
        </w:tc>
        <w:tc>
          <w:tcPr>
            <w:tcW w:w="1560" w:type="dxa"/>
          </w:tcPr>
          <w:p w:rsidR="0008592F" w:rsidRPr="006D34BE" w:rsidP="006D34BE">
            <w:pPr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22,400 sq</w:t>
            </w:r>
            <w:r>
              <w:rPr>
                <w:rFonts w:ascii="Arial" w:hAnsi="Arial" w:cs="Arial"/>
              </w:rPr>
              <w:t>m</w:t>
            </w:r>
            <w:r w:rsidRPr="006D34B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8" w:type="dxa"/>
            <w:shd w:val="clear" w:color="auto" w:fill="92D050"/>
          </w:tcPr>
          <w:p w:rsidR="0008592F" w:rsidRPr="006D34BE" w:rsidP="00070479">
            <w:pPr>
              <w:rPr>
                <w:rFonts w:ascii="Arial" w:hAnsi="Arial" w:cs="Arial"/>
              </w:rPr>
            </w:pPr>
          </w:p>
        </w:tc>
      </w:tr>
      <w:tr w:rsidTr="006D34BE">
        <w:tblPrEx>
          <w:tblW w:w="9072" w:type="dxa"/>
          <w:tblInd w:w="-5" w:type="dxa"/>
          <w:tblLayout w:type="fixed"/>
          <w:tblLook w:val="04A0"/>
        </w:tblPrEx>
        <w:tc>
          <w:tcPr>
            <w:tcW w:w="5245" w:type="dxa"/>
          </w:tcPr>
          <w:p w:rsidR="0008592F" w:rsidRPr="006D34BE" w:rsidP="00FF0D74">
            <w:pPr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New jobs created</w:t>
            </w:r>
          </w:p>
        </w:tc>
        <w:tc>
          <w:tcPr>
            <w:tcW w:w="1559" w:type="dxa"/>
          </w:tcPr>
          <w:p w:rsidR="0008592F" w:rsidRPr="006D34BE" w:rsidP="00FF0D74">
            <w:pPr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2,528</w:t>
            </w:r>
          </w:p>
        </w:tc>
        <w:tc>
          <w:tcPr>
            <w:tcW w:w="1560" w:type="dxa"/>
          </w:tcPr>
          <w:p w:rsidR="0008592F" w:rsidRPr="006D34BE" w:rsidP="00FF0D74">
            <w:pPr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200*</w:t>
            </w:r>
          </w:p>
        </w:tc>
        <w:tc>
          <w:tcPr>
            <w:tcW w:w="708" w:type="dxa"/>
            <w:shd w:val="clear" w:color="auto" w:fill="92D050"/>
          </w:tcPr>
          <w:p w:rsidR="0008592F" w:rsidRPr="006D34BE" w:rsidP="00070479">
            <w:pPr>
              <w:rPr>
                <w:rFonts w:ascii="Arial" w:hAnsi="Arial" w:cs="Arial"/>
              </w:rPr>
            </w:pPr>
          </w:p>
        </w:tc>
      </w:tr>
      <w:tr w:rsidTr="006D34BE">
        <w:tblPrEx>
          <w:tblW w:w="9072" w:type="dxa"/>
          <w:tblInd w:w="-5" w:type="dxa"/>
          <w:tblLayout w:type="fixed"/>
          <w:tblLook w:val="04A0"/>
        </w:tblPrEx>
        <w:tc>
          <w:tcPr>
            <w:tcW w:w="5245" w:type="dxa"/>
          </w:tcPr>
          <w:p w:rsidR="0008592F" w:rsidRPr="006D34BE" w:rsidP="00E20B35">
            <w:pPr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 xml:space="preserve">Utility construction project complete  </w:t>
            </w:r>
          </w:p>
        </w:tc>
        <w:tc>
          <w:tcPr>
            <w:tcW w:w="1559" w:type="dxa"/>
          </w:tcPr>
          <w:p w:rsidR="0008592F" w:rsidRPr="006D34BE" w:rsidP="00070479">
            <w:pPr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</w:tcPr>
          <w:p w:rsidR="0008592F" w:rsidRPr="006D34BE" w:rsidP="00070479">
            <w:pPr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 w:rsidR="0008592F" w:rsidRPr="006D34BE" w:rsidP="00070479">
            <w:pPr>
              <w:rPr>
                <w:rFonts w:ascii="Arial" w:hAnsi="Arial" w:cs="Arial"/>
              </w:rPr>
            </w:pPr>
          </w:p>
        </w:tc>
      </w:tr>
      <w:tr w:rsidTr="006D34BE">
        <w:tblPrEx>
          <w:tblW w:w="9072" w:type="dxa"/>
          <w:tblInd w:w="-5" w:type="dxa"/>
          <w:tblLayout w:type="fixed"/>
          <w:tblLook w:val="04A0"/>
        </w:tblPrEx>
        <w:tc>
          <w:tcPr>
            <w:tcW w:w="5245" w:type="dxa"/>
          </w:tcPr>
          <w:p w:rsidR="0008592F" w:rsidRPr="006D34BE" w:rsidP="006D34BE">
            <w:pPr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Public Sector Investment (site-wide infrastructure)</w:t>
            </w:r>
          </w:p>
        </w:tc>
        <w:tc>
          <w:tcPr>
            <w:tcW w:w="1559" w:type="dxa"/>
          </w:tcPr>
          <w:p w:rsidR="0008592F" w:rsidRPr="006D34BE" w:rsidP="00C941E0">
            <w:pPr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£28.8m</w:t>
            </w:r>
          </w:p>
        </w:tc>
        <w:tc>
          <w:tcPr>
            <w:tcW w:w="1560" w:type="dxa"/>
          </w:tcPr>
          <w:p w:rsidR="0008592F" w:rsidRPr="006D34BE" w:rsidP="00451D72">
            <w:pPr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£12.994m**</w:t>
            </w:r>
          </w:p>
        </w:tc>
        <w:tc>
          <w:tcPr>
            <w:tcW w:w="708" w:type="dxa"/>
            <w:shd w:val="clear" w:color="auto" w:fill="92D050"/>
          </w:tcPr>
          <w:p w:rsidR="0008592F" w:rsidRPr="006D34BE" w:rsidP="00070479">
            <w:pPr>
              <w:rPr>
                <w:rFonts w:ascii="Arial" w:hAnsi="Arial" w:cs="Arial"/>
              </w:rPr>
            </w:pPr>
          </w:p>
        </w:tc>
      </w:tr>
      <w:tr w:rsidTr="006D34BE">
        <w:tblPrEx>
          <w:tblW w:w="9072" w:type="dxa"/>
          <w:tblInd w:w="-5" w:type="dxa"/>
          <w:tblLayout w:type="fixed"/>
          <w:tblLook w:val="04A0"/>
        </w:tblPrEx>
        <w:tc>
          <w:tcPr>
            <w:tcW w:w="5245" w:type="dxa"/>
          </w:tcPr>
          <w:p w:rsidR="006A61BF" w:rsidRPr="006D34BE" w:rsidP="006D34BE">
            <w:pPr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 xml:space="preserve">Private Sector Investment </w:t>
            </w:r>
            <w:r>
              <w:rPr>
                <w:rFonts w:ascii="Arial" w:hAnsi="Arial" w:cs="Arial"/>
              </w:rPr>
              <w:t>-</w:t>
            </w:r>
            <w:r w:rsidRPr="006D34BE">
              <w:rPr>
                <w:rFonts w:ascii="Arial" w:hAnsi="Arial" w:cs="Arial"/>
              </w:rPr>
              <w:t xml:space="preserve">BAE £42m &amp; Utility </w:t>
            </w:r>
            <w:r>
              <w:rPr>
                <w:rFonts w:ascii="Arial" w:hAnsi="Arial" w:cs="Arial"/>
              </w:rPr>
              <w:t>£</w:t>
            </w:r>
            <w:r w:rsidRPr="006D34BE">
              <w:rPr>
                <w:rFonts w:ascii="Arial" w:hAnsi="Arial" w:cs="Arial"/>
              </w:rPr>
              <w:t>7m</w:t>
            </w:r>
          </w:p>
        </w:tc>
        <w:tc>
          <w:tcPr>
            <w:tcW w:w="1559" w:type="dxa"/>
          </w:tcPr>
          <w:p w:rsidR="006A61BF" w:rsidRPr="006D34BE" w:rsidP="00187CCC">
            <w:pPr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£49m</w:t>
            </w:r>
          </w:p>
        </w:tc>
        <w:tc>
          <w:tcPr>
            <w:tcW w:w="1560" w:type="dxa"/>
          </w:tcPr>
          <w:p w:rsidR="006A61BF" w:rsidRPr="006D34BE" w:rsidP="000C5A38">
            <w:pPr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£42m</w:t>
            </w:r>
          </w:p>
        </w:tc>
        <w:tc>
          <w:tcPr>
            <w:tcW w:w="708" w:type="dxa"/>
            <w:shd w:val="clear" w:color="auto" w:fill="92D050"/>
          </w:tcPr>
          <w:p w:rsidR="006A61BF" w:rsidRPr="006D34BE" w:rsidP="00070479">
            <w:pPr>
              <w:rPr>
                <w:rFonts w:ascii="Arial" w:hAnsi="Arial" w:cs="Arial"/>
              </w:rPr>
            </w:pPr>
          </w:p>
        </w:tc>
      </w:tr>
    </w:tbl>
    <w:p w:rsidR="00254FA7" w:rsidRPr="006D34BE" w:rsidP="00A47C0F">
      <w:pPr>
        <w:pStyle w:val="ListParagraph"/>
        <w:ind w:left="0"/>
        <w:jc w:val="both"/>
        <w:rPr>
          <w:rFonts w:ascii="Arial" w:hAnsi="Arial" w:cs="Arial"/>
        </w:rPr>
      </w:pPr>
      <w:r w:rsidRPr="006D34BE">
        <w:rPr>
          <w:rFonts w:ascii="Arial" w:hAnsi="Arial" w:cs="Arial"/>
        </w:rPr>
        <w:t xml:space="preserve">* Additional to Growth Deal target </w:t>
      </w:r>
    </w:p>
    <w:p w:rsidR="00EB4CB5" w:rsidRPr="006D34BE" w:rsidP="00A47C0F">
      <w:pPr>
        <w:pStyle w:val="ListParagraph"/>
        <w:ind w:left="0"/>
        <w:jc w:val="both"/>
        <w:rPr>
          <w:rFonts w:ascii="Arial" w:hAnsi="Arial" w:cs="Arial"/>
        </w:rPr>
      </w:pPr>
      <w:r w:rsidRPr="006D34BE">
        <w:rPr>
          <w:rFonts w:ascii="Arial" w:hAnsi="Arial" w:cs="Arial"/>
        </w:rPr>
        <w:t>** Includes Prudential borrowing for initial costs of new road and infrastructure</w:t>
      </w:r>
    </w:p>
    <w:p w:rsidR="006376E5" w:rsidRPr="006D34BE" w:rsidP="00A47C0F">
      <w:pPr>
        <w:pStyle w:val="ListParagraph"/>
        <w:ind w:left="0"/>
        <w:jc w:val="both"/>
        <w:rPr>
          <w:rFonts w:ascii="Arial" w:hAnsi="Arial" w:cs="Arial"/>
        </w:rPr>
      </w:pPr>
    </w:p>
    <w:p w:rsidR="006376E5" w:rsidRPr="006D34BE" w:rsidP="00A47C0F">
      <w:pPr>
        <w:pStyle w:val="ListParagraph"/>
        <w:ind w:left="0"/>
        <w:jc w:val="both"/>
        <w:rPr>
          <w:rFonts w:ascii="Arial" w:hAnsi="Arial" w:cs="Arial"/>
        </w:rPr>
      </w:pPr>
    </w:p>
    <w:p w:rsidR="006376E5" w:rsidRPr="006D34BE" w:rsidP="00A47C0F">
      <w:pPr>
        <w:pStyle w:val="ListParagraph"/>
        <w:ind w:left="0"/>
        <w:jc w:val="both"/>
        <w:rPr>
          <w:rFonts w:ascii="Arial" w:hAnsi="Arial" w:cs="Arial"/>
        </w:rPr>
      </w:pPr>
    </w:p>
    <w:p w:rsidR="006376E5" w:rsidRPr="006D34BE" w:rsidP="00A47C0F">
      <w:pPr>
        <w:pStyle w:val="ListParagraph"/>
        <w:ind w:left="0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123"/>
        <w:tblW w:w="8784" w:type="dxa"/>
        <w:tblLook w:val="04A0"/>
      </w:tblPr>
      <w:tblGrid>
        <w:gridCol w:w="7650"/>
        <w:gridCol w:w="1134"/>
      </w:tblGrid>
      <w:tr w:rsidTr="006D34BE">
        <w:tblPrEx>
          <w:tblW w:w="8784" w:type="dxa"/>
          <w:tblLook w:val="04A0"/>
        </w:tblPrEx>
        <w:tc>
          <w:tcPr>
            <w:tcW w:w="7650" w:type="dxa"/>
          </w:tcPr>
          <w:p w:rsidR="006D34BE" w:rsidRPr="006D34BE" w:rsidP="006D34BE">
            <w:pPr>
              <w:jc w:val="both"/>
              <w:rPr>
                <w:rFonts w:ascii="Arial" w:hAnsi="Arial" w:cs="Arial"/>
                <w:b/>
              </w:rPr>
            </w:pPr>
            <w:r w:rsidRPr="006D34BE">
              <w:rPr>
                <w:rFonts w:ascii="Arial" w:hAnsi="Arial" w:cs="Arial"/>
                <w:b/>
              </w:rPr>
              <w:t>Milestone</w:t>
            </w:r>
          </w:p>
        </w:tc>
        <w:tc>
          <w:tcPr>
            <w:tcW w:w="1134" w:type="dxa"/>
          </w:tcPr>
          <w:p w:rsidR="006D34BE" w:rsidRPr="006D34BE" w:rsidP="006D34BE">
            <w:pPr>
              <w:jc w:val="both"/>
              <w:rPr>
                <w:rFonts w:ascii="Arial" w:hAnsi="Arial" w:cs="Arial"/>
                <w:b/>
              </w:rPr>
            </w:pPr>
            <w:r w:rsidRPr="006D34BE">
              <w:rPr>
                <w:rFonts w:ascii="Arial" w:hAnsi="Arial" w:cs="Arial"/>
                <w:b/>
              </w:rPr>
              <w:t>Dates</w:t>
            </w:r>
          </w:p>
        </w:tc>
      </w:tr>
      <w:tr w:rsidTr="006D34BE">
        <w:tblPrEx>
          <w:tblW w:w="8784" w:type="dxa"/>
          <w:tblLook w:val="04A0"/>
        </w:tblPrEx>
        <w:tc>
          <w:tcPr>
            <w:tcW w:w="7650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Primary sub-station design</w:t>
            </w:r>
          </w:p>
        </w:tc>
        <w:tc>
          <w:tcPr>
            <w:tcW w:w="1134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Pr="006D34BE">
              <w:rPr>
                <w:rFonts w:ascii="Arial" w:hAnsi="Arial" w:cs="Arial"/>
              </w:rPr>
              <w:t>20</w:t>
            </w:r>
          </w:p>
        </w:tc>
      </w:tr>
      <w:tr w:rsidTr="006D34BE">
        <w:tblPrEx>
          <w:tblW w:w="8784" w:type="dxa"/>
          <w:tblLook w:val="04A0"/>
        </w:tblPrEx>
        <w:tc>
          <w:tcPr>
            <w:tcW w:w="7650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Primary sub-station planning approval</w:t>
            </w:r>
          </w:p>
        </w:tc>
        <w:tc>
          <w:tcPr>
            <w:tcW w:w="1134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Jul</w:t>
            </w:r>
            <w:r>
              <w:rPr>
                <w:rFonts w:ascii="Arial" w:hAnsi="Arial" w:cs="Arial"/>
              </w:rPr>
              <w:t xml:space="preserve"> </w:t>
            </w:r>
            <w:r w:rsidRPr="006D34BE">
              <w:rPr>
                <w:rFonts w:ascii="Arial" w:hAnsi="Arial" w:cs="Arial"/>
              </w:rPr>
              <w:t>20</w:t>
            </w:r>
          </w:p>
        </w:tc>
      </w:tr>
      <w:tr w:rsidTr="006D34BE">
        <w:tblPrEx>
          <w:tblW w:w="8784" w:type="dxa"/>
          <w:tblLook w:val="04A0"/>
        </w:tblPrEx>
        <w:tc>
          <w:tcPr>
            <w:tcW w:w="7650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Gas main construction commenced</w:t>
            </w:r>
          </w:p>
        </w:tc>
        <w:tc>
          <w:tcPr>
            <w:tcW w:w="1134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Aug</w:t>
            </w:r>
            <w:r>
              <w:rPr>
                <w:rFonts w:ascii="Arial" w:hAnsi="Arial" w:cs="Arial"/>
              </w:rPr>
              <w:t xml:space="preserve"> </w:t>
            </w:r>
            <w:r w:rsidRPr="006D34BE">
              <w:rPr>
                <w:rFonts w:ascii="Arial" w:hAnsi="Arial" w:cs="Arial"/>
              </w:rPr>
              <w:t>20</w:t>
            </w:r>
          </w:p>
        </w:tc>
      </w:tr>
      <w:tr w:rsidTr="006D34BE">
        <w:tblPrEx>
          <w:tblW w:w="8784" w:type="dxa"/>
          <w:tblLook w:val="04A0"/>
        </w:tblPrEx>
        <w:trPr>
          <w:trHeight w:val="71"/>
        </w:trPr>
        <w:tc>
          <w:tcPr>
            <w:tcW w:w="7650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Commercial Development Framework commissioned</w:t>
            </w:r>
          </w:p>
        </w:tc>
        <w:tc>
          <w:tcPr>
            <w:tcW w:w="1134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Aug</w:t>
            </w:r>
            <w:r>
              <w:rPr>
                <w:rFonts w:ascii="Arial" w:hAnsi="Arial" w:cs="Arial"/>
              </w:rPr>
              <w:t xml:space="preserve"> </w:t>
            </w:r>
            <w:r w:rsidRPr="006D34BE">
              <w:rPr>
                <w:rFonts w:ascii="Arial" w:hAnsi="Arial" w:cs="Arial"/>
              </w:rPr>
              <w:t>20</w:t>
            </w:r>
          </w:p>
        </w:tc>
      </w:tr>
      <w:tr w:rsidTr="006D34BE">
        <w:tblPrEx>
          <w:tblW w:w="8784" w:type="dxa"/>
          <w:tblLook w:val="04A0"/>
        </w:tblPrEx>
        <w:trPr>
          <w:trHeight w:val="71"/>
        </w:trPr>
        <w:tc>
          <w:tcPr>
            <w:tcW w:w="7650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Drainage &amp; Earthworks Strategy commissioned</w:t>
            </w:r>
          </w:p>
        </w:tc>
        <w:tc>
          <w:tcPr>
            <w:tcW w:w="1134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 </w:t>
            </w:r>
            <w:r w:rsidRPr="006D34BE">
              <w:rPr>
                <w:rFonts w:ascii="Arial" w:hAnsi="Arial" w:cs="Arial"/>
              </w:rPr>
              <w:t>20</w:t>
            </w:r>
          </w:p>
        </w:tc>
      </w:tr>
      <w:tr w:rsidTr="006D34BE">
        <w:tblPrEx>
          <w:tblW w:w="8784" w:type="dxa"/>
          <w:tblLook w:val="04A0"/>
        </w:tblPrEx>
        <w:tc>
          <w:tcPr>
            <w:tcW w:w="7650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LCC AMRC Landlord Works complete</w:t>
            </w:r>
          </w:p>
        </w:tc>
        <w:tc>
          <w:tcPr>
            <w:tcW w:w="1134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Sep</w:t>
            </w:r>
            <w:r>
              <w:rPr>
                <w:rFonts w:ascii="Arial" w:hAnsi="Arial" w:cs="Arial"/>
              </w:rPr>
              <w:t xml:space="preserve"> </w:t>
            </w:r>
            <w:r w:rsidRPr="006D34BE">
              <w:rPr>
                <w:rFonts w:ascii="Arial" w:hAnsi="Arial" w:cs="Arial"/>
              </w:rPr>
              <w:t>20</w:t>
            </w:r>
          </w:p>
        </w:tc>
      </w:tr>
      <w:tr w:rsidTr="006D34BE">
        <w:tblPrEx>
          <w:tblW w:w="8784" w:type="dxa"/>
          <w:tblLook w:val="04A0"/>
        </w:tblPrEx>
        <w:tc>
          <w:tcPr>
            <w:tcW w:w="7650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Utilities orders placed</w:t>
            </w:r>
          </w:p>
        </w:tc>
        <w:tc>
          <w:tcPr>
            <w:tcW w:w="1134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Sep</w:t>
            </w:r>
            <w:r>
              <w:rPr>
                <w:rFonts w:ascii="Arial" w:hAnsi="Arial" w:cs="Arial"/>
              </w:rPr>
              <w:t xml:space="preserve"> 2</w:t>
            </w:r>
            <w:r w:rsidRPr="006D34BE">
              <w:rPr>
                <w:rFonts w:ascii="Arial" w:hAnsi="Arial" w:cs="Arial"/>
              </w:rPr>
              <w:t xml:space="preserve">0 </w:t>
            </w:r>
          </w:p>
        </w:tc>
      </w:tr>
      <w:tr w:rsidTr="006D34BE">
        <w:tblPrEx>
          <w:tblW w:w="8784" w:type="dxa"/>
          <w:tblLook w:val="04A0"/>
        </w:tblPrEx>
        <w:tc>
          <w:tcPr>
            <w:tcW w:w="7650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AMRC Construction (Robertson)</w:t>
            </w:r>
          </w:p>
        </w:tc>
        <w:tc>
          <w:tcPr>
            <w:tcW w:w="1134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Oct</w:t>
            </w:r>
            <w:r>
              <w:rPr>
                <w:rFonts w:ascii="Arial" w:hAnsi="Arial" w:cs="Arial"/>
              </w:rPr>
              <w:t xml:space="preserve"> </w:t>
            </w:r>
            <w:r w:rsidRPr="006D34BE">
              <w:rPr>
                <w:rFonts w:ascii="Arial" w:hAnsi="Arial" w:cs="Arial"/>
              </w:rPr>
              <w:t>20</w:t>
            </w:r>
          </w:p>
        </w:tc>
      </w:tr>
      <w:tr w:rsidTr="006D34BE">
        <w:tblPrEx>
          <w:tblW w:w="8784" w:type="dxa"/>
          <w:tblLook w:val="04A0"/>
        </w:tblPrEx>
        <w:trPr>
          <w:trHeight w:val="71"/>
        </w:trPr>
        <w:tc>
          <w:tcPr>
            <w:tcW w:w="7650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 xml:space="preserve">Updated Marketing Strategy &amp; </w:t>
            </w:r>
            <w:r w:rsidRPr="006D34BE">
              <w:rPr>
                <w:rFonts w:ascii="Arial" w:hAnsi="Arial" w:cs="Arial"/>
              </w:rPr>
              <w:t>progression of enquiries</w:t>
            </w:r>
          </w:p>
        </w:tc>
        <w:tc>
          <w:tcPr>
            <w:tcW w:w="1134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Dec</w:t>
            </w:r>
            <w:r>
              <w:rPr>
                <w:rFonts w:ascii="Arial" w:hAnsi="Arial" w:cs="Arial"/>
              </w:rPr>
              <w:t xml:space="preserve"> </w:t>
            </w:r>
            <w:r w:rsidRPr="006D34BE">
              <w:rPr>
                <w:rFonts w:ascii="Arial" w:hAnsi="Arial" w:cs="Arial"/>
              </w:rPr>
              <w:t>20</w:t>
            </w:r>
          </w:p>
        </w:tc>
      </w:tr>
      <w:tr w:rsidTr="006D34BE">
        <w:tblPrEx>
          <w:tblW w:w="8784" w:type="dxa"/>
          <w:tblLook w:val="04A0"/>
        </w:tblPrEx>
        <w:trPr>
          <w:trHeight w:val="71"/>
        </w:trPr>
        <w:tc>
          <w:tcPr>
            <w:tcW w:w="7650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AMF Completion</w:t>
            </w:r>
          </w:p>
        </w:tc>
        <w:tc>
          <w:tcPr>
            <w:tcW w:w="1134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Nov</w:t>
            </w:r>
            <w:r>
              <w:rPr>
                <w:rFonts w:ascii="Arial" w:hAnsi="Arial" w:cs="Arial"/>
              </w:rPr>
              <w:t xml:space="preserve"> </w:t>
            </w:r>
            <w:r w:rsidRPr="006D34BE">
              <w:rPr>
                <w:rFonts w:ascii="Arial" w:hAnsi="Arial" w:cs="Arial"/>
              </w:rPr>
              <w:t>20</w:t>
            </w:r>
          </w:p>
        </w:tc>
      </w:tr>
      <w:tr w:rsidTr="006D34BE">
        <w:tblPrEx>
          <w:tblW w:w="8784" w:type="dxa"/>
          <w:tblLook w:val="04A0"/>
        </w:tblPrEx>
        <w:trPr>
          <w:trHeight w:val="71"/>
        </w:trPr>
        <w:tc>
          <w:tcPr>
            <w:tcW w:w="7650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Earthworks &amp; Drainage site works complete</w:t>
            </w:r>
          </w:p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 xml:space="preserve">(Due to the impacts of Covid-19, subsequent delays &amp; compounded impact of working through winter, this is likely to </w:t>
            </w:r>
            <w:r>
              <w:rPr>
                <w:rFonts w:ascii="Arial" w:hAnsi="Arial" w:cs="Arial"/>
              </w:rPr>
              <w:t xml:space="preserve">slip to </w:t>
            </w:r>
            <w:r w:rsidRPr="006D34BE">
              <w:rPr>
                <w:rFonts w:ascii="Arial" w:hAnsi="Arial" w:cs="Arial"/>
              </w:rPr>
              <w:t xml:space="preserve">Q1 2021/22)   </w:t>
            </w:r>
          </w:p>
        </w:tc>
        <w:tc>
          <w:tcPr>
            <w:tcW w:w="1134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Feb</w:t>
            </w:r>
            <w:r>
              <w:rPr>
                <w:rFonts w:ascii="Arial" w:hAnsi="Arial" w:cs="Arial"/>
              </w:rPr>
              <w:t xml:space="preserve"> </w:t>
            </w:r>
            <w:r w:rsidRPr="006D34BE">
              <w:rPr>
                <w:rFonts w:ascii="Arial" w:hAnsi="Arial" w:cs="Arial"/>
              </w:rPr>
              <w:t>21</w:t>
            </w:r>
          </w:p>
        </w:tc>
      </w:tr>
      <w:tr w:rsidTr="006D34BE">
        <w:tblPrEx>
          <w:tblW w:w="8784" w:type="dxa"/>
          <w:tblLook w:val="04A0"/>
        </w:tblPrEx>
        <w:trPr>
          <w:trHeight w:val="71"/>
        </w:trPr>
        <w:tc>
          <w:tcPr>
            <w:tcW w:w="7650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 xml:space="preserve">Plots full </w:t>
            </w:r>
            <w:r w:rsidRPr="006D34BE">
              <w:rPr>
                <w:rFonts w:ascii="Arial" w:hAnsi="Arial" w:cs="Arial"/>
              </w:rPr>
              <w:t>serviced (excluding power)</w:t>
            </w:r>
            <w:r>
              <w:rPr>
                <w:rFonts w:ascii="Arial" w:hAnsi="Arial" w:cs="Arial"/>
              </w:rPr>
              <w:t xml:space="preserve"> </w:t>
            </w:r>
            <w:r w:rsidRPr="006D34BE">
              <w:rPr>
                <w:rFonts w:ascii="Arial" w:hAnsi="Arial" w:cs="Arial"/>
              </w:rPr>
              <w:t>(As above)</w:t>
            </w:r>
          </w:p>
        </w:tc>
        <w:tc>
          <w:tcPr>
            <w:tcW w:w="1134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 </w:t>
            </w:r>
            <w:r w:rsidRPr="006D34BE">
              <w:rPr>
                <w:rFonts w:ascii="Arial" w:hAnsi="Arial" w:cs="Arial"/>
              </w:rPr>
              <w:t>21</w:t>
            </w:r>
          </w:p>
        </w:tc>
      </w:tr>
      <w:tr w:rsidTr="006D34BE">
        <w:tblPrEx>
          <w:tblW w:w="8784" w:type="dxa"/>
          <w:tblLook w:val="04A0"/>
        </w:tblPrEx>
        <w:trPr>
          <w:trHeight w:val="71"/>
        </w:trPr>
        <w:tc>
          <w:tcPr>
            <w:tcW w:w="7650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 xml:space="preserve">Primary sub-station connection </w:t>
            </w:r>
          </w:p>
        </w:tc>
        <w:tc>
          <w:tcPr>
            <w:tcW w:w="1134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Sep</w:t>
            </w:r>
            <w:r>
              <w:rPr>
                <w:rFonts w:ascii="Arial" w:hAnsi="Arial" w:cs="Arial"/>
              </w:rPr>
              <w:t xml:space="preserve"> </w:t>
            </w:r>
            <w:r w:rsidRPr="006D34BE">
              <w:rPr>
                <w:rFonts w:ascii="Arial" w:hAnsi="Arial" w:cs="Arial"/>
              </w:rPr>
              <w:t>22</w:t>
            </w:r>
          </w:p>
        </w:tc>
      </w:tr>
      <w:tr w:rsidTr="006D34BE">
        <w:tblPrEx>
          <w:tblW w:w="8784" w:type="dxa"/>
          <w:tblLook w:val="04A0"/>
        </w:tblPrEx>
        <w:trPr>
          <w:trHeight w:val="71"/>
        </w:trPr>
        <w:tc>
          <w:tcPr>
            <w:tcW w:w="7650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 xml:space="preserve">Site wide utility infrastructure operational </w:t>
            </w:r>
          </w:p>
        </w:tc>
        <w:tc>
          <w:tcPr>
            <w:tcW w:w="1134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 </w:t>
            </w:r>
            <w:r w:rsidRPr="006D34BE">
              <w:rPr>
                <w:rFonts w:ascii="Arial" w:hAnsi="Arial" w:cs="Arial"/>
              </w:rPr>
              <w:t>22</w:t>
            </w:r>
          </w:p>
        </w:tc>
      </w:tr>
      <w:tr w:rsidTr="006D34BE">
        <w:tblPrEx>
          <w:tblW w:w="8784" w:type="dxa"/>
          <w:tblLook w:val="04A0"/>
        </w:tblPrEx>
        <w:trPr>
          <w:trHeight w:val="71"/>
        </w:trPr>
        <w:tc>
          <w:tcPr>
            <w:tcW w:w="7650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Delivery of enquiries (conducted in parallel to infrastructure delivery)</w:t>
            </w:r>
          </w:p>
        </w:tc>
        <w:tc>
          <w:tcPr>
            <w:tcW w:w="1134" w:type="dxa"/>
          </w:tcPr>
          <w:p w:rsidR="006D34BE" w:rsidRPr="006D34BE" w:rsidP="006D34BE">
            <w:pPr>
              <w:jc w:val="both"/>
              <w:rPr>
                <w:rFonts w:ascii="Arial" w:hAnsi="Arial" w:cs="Arial"/>
              </w:rPr>
            </w:pPr>
            <w:r w:rsidRPr="006D34BE">
              <w:rPr>
                <w:rFonts w:ascii="Arial" w:hAnsi="Arial" w:cs="Arial"/>
              </w:rPr>
              <w:t>Feb 21</w:t>
            </w:r>
            <w:r>
              <w:rPr>
                <w:rFonts w:ascii="Arial" w:hAnsi="Arial" w:cs="Arial"/>
              </w:rPr>
              <w:t>+</w:t>
            </w:r>
          </w:p>
        </w:tc>
      </w:tr>
    </w:tbl>
    <w:p w:rsidR="00695DB0" w:rsidP="002A3024">
      <w:pPr>
        <w:pStyle w:val="NoSpacing"/>
      </w:pPr>
    </w:p>
    <w:p w:rsidR="006D34BE" w:rsidRPr="0064538C" w:rsidP="006D34BE">
      <w:pPr>
        <w:jc w:val="both"/>
        <w:rPr>
          <w:rFonts w:ascii="Arial" w:hAnsi="Arial" w:cs="Arial"/>
          <w:b/>
          <w:u w:val="single"/>
        </w:rPr>
      </w:pPr>
      <w:r w:rsidRPr="0064538C">
        <w:rPr>
          <w:rFonts w:ascii="Arial" w:hAnsi="Arial" w:cs="Arial"/>
          <w:b/>
          <w:u w:val="single"/>
        </w:rPr>
        <w:t>Risks</w:t>
      </w:r>
    </w:p>
    <w:p w:rsidR="006D34BE" w:rsidP="006D34BE">
      <w:pPr>
        <w:pStyle w:val="NormalNumbered"/>
        <w:rPr>
          <w:rFonts w:cs="Arial"/>
          <w:b/>
        </w:rPr>
      </w:pPr>
      <w:r>
        <w:rPr>
          <w:rFonts w:cs="Arial"/>
          <w:sz w:val="22"/>
          <w:szCs w:val="22"/>
        </w:rPr>
        <w:t>A new Single P</w:t>
      </w:r>
      <w:r>
        <w:rPr>
          <w:sz w:val="22"/>
          <w:szCs w:val="22"/>
        </w:rPr>
        <w:t xml:space="preserve">ortfolio Risk Register for the combined programmes has been created, which can be found at Appendix M to the main report. </w:t>
      </w:r>
    </w:p>
    <w:sectPr w:rsidSect="006D34BE">
      <w:headerReference w:type="default" r:id="rId5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5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B64485"/>
    <w:multiLevelType w:val="hybridMultilevel"/>
    <w:tmpl w:val="0ECC2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35163"/>
    <w:multiLevelType w:val="hybridMultilevel"/>
    <w:tmpl w:val="380A4B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6C15E7"/>
    <w:multiLevelType w:val="hybridMultilevel"/>
    <w:tmpl w:val="DEA01E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40C9B"/>
    <w:multiLevelType w:val="hybridMultilevel"/>
    <w:tmpl w:val="B532C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767FF"/>
    <w:multiLevelType w:val="hybridMultilevel"/>
    <w:tmpl w:val="E2F0B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7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8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E7"/>
  </w:style>
  <w:style w:type="paragraph" w:styleId="Footer">
    <w:name w:val="footer"/>
    <w:basedOn w:val="Normal"/>
    <w:link w:val="Foot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E7"/>
  </w:style>
  <w:style w:type="paragraph" w:styleId="NoSpacing">
    <w:name w:val="No Spacing"/>
    <w:uiPriority w:val="1"/>
    <w:qFormat/>
    <w:rsid w:val="00A47C0F"/>
    <w:pPr>
      <w:spacing w:after="0" w:line="240" w:lineRule="auto"/>
    </w:pPr>
  </w:style>
  <w:style w:type="paragraph" w:customStyle="1" w:styleId="NormalNumbered">
    <w:name w:val="Normal Numbered"/>
    <w:basedOn w:val="Normal"/>
    <w:qFormat/>
    <w:rsid w:val="006D34BE"/>
    <w:pPr>
      <w:tabs>
        <w:tab w:val="left" w:pos="709"/>
        <w:tab w:val="num" w:pos="1112"/>
      </w:tabs>
      <w:spacing w:before="120" w:after="240" w:line="264" w:lineRule="auto"/>
      <w:jc w:val="both"/>
    </w:pPr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09ED-4BA8-4982-95E3-86707C4F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Parkinson, Anne-Marie (LEP)</cp:lastModifiedBy>
  <cp:revision>6</cp:revision>
  <dcterms:created xsi:type="dcterms:W3CDTF">2020-11-09T16:31:00Z</dcterms:created>
  <dcterms:modified xsi:type="dcterms:W3CDTF">2020-11-26T10:11:00Z</dcterms:modified>
</cp:coreProperties>
</file>